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2428" w:right="2992"/>
        <w:jc w:val="center"/>
      </w:pPr>
      <w:r>
        <w:rPr/>
        <w:t>Active</w:t>
      </w:r>
      <w:r>
        <w:rPr>
          <w:spacing w:val="-9"/>
        </w:rPr>
        <w:t> </w:t>
      </w:r>
      <w:r>
        <w:rPr/>
        <w:t>Initiative</w:t>
      </w:r>
      <w:r>
        <w:rPr>
          <w:spacing w:val="-8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September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Clemency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Elections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Legislature, Governor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County,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Historic Area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Walt Disney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Abortion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 voting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 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 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official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0pt;height:13.05pt;mso-position-horizontal-relative:page;mso-position-vertical-relative:page;z-index:-1600870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9/21/2023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2023-09-21T13:56:00Z</dcterms:created>
  <dcterms:modified xsi:type="dcterms:W3CDTF">2023-09-21T13:56:00Z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Excel® for Microsoft 365</vt:lpwstr>
  </property>
</Properties>
</file>